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解剖与生理（1）</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w:t>
            </w:r>
            <w:r>
              <w:rPr>
                <w:rFonts w:ascii="Times New Roman" w:hAnsi="Times New Roman" w:eastAsia="宋体" w:cs="Times New Roman"/>
                <w:color w:val="000000"/>
                <w:sz w:val="18"/>
                <w:szCs w:val="18"/>
              </w:rPr>
              <w:t>124</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ascii="Times New Roman" w:hAnsi="Times New Roman" w:eastAsia="宋体" w:cs="Times New Roman"/>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解剖与生理（1）</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（英文）Anatomy and physiology (1)</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 School of Biomedical Engineering</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生物学导论</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陈垚</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hint="eastAsia" w:ascii="Times New Roman" w:hAnsi="Times New Roman" w:eastAsia="微软雅黑" w:cs="Times New Roman"/>
                <w:kern w:val="0"/>
                <w:sz w:val="18"/>
                <w:szCs w:val="18"/>
                <w:lang w:bidi="ar"/>
              </w:rPr>
              <w:t>《解剖与生理》是生物医学工程专业必修课。课程从系统、器官、细胞水平研究人体各部正常形态结构和生命活动规律，由人体解剖学和生理学两门课程合并而成。人体解剖学研究正常人体各部分形态、结构、位置、毗邻及结构与功能关系，是学习生理学的形态学基础。生理学是研究正常人体生命活动规律和生理功能的科学，这些功能如何实现以及它们受到哪些因素的调节和控制等。本课程学习目标旨在使学生获得人体解剖生理学的基础理论、基本知识和基本技能；掌握人体各器官系统的基本形态、结构，以及各器官系统的主要生理过程及机制。另一个目标是学习使用定量方法，将生物医学工程方法应用于解决基于生理学原理的健康和疾病问题。通过学习这门课程，希望学生具备以下能力：1）理解人体主要器官系统中的健康和疾病的生理过程；2）掌握神经系统、运动系统、心血管系统、呼吸系统、肾脏系统、胃肠系统和内分泌系统的主要功能；3）掌握内稳态概念并应用于生理系统；4）理解生理过程的分子和细胞机制，为后续生物医学工程课程的提供基础；5）为生物医学工程领域的医学应用提供生理知识基础。本课程分为解剖与生理学（1）和解剖与生理学（2）, 分两个学期开设， 共64学时。</w:t>
            </w:r>
          </w:p>
          <w:p>
            <w:pPr>
              <w:widowControl/>
              <w:jc w:val="left"/>
              <w:textAlignment w:val="center"/>
              <w:rPr>
                <w:rStyle w:val="7"/>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“Anatomy and physiology” is a compulsory course for biomedical engineering. This course is the science of studying the normal form and life activity of human body from the system, organ, cell level, combined with human anatomy and physiology. The anatomy of the human body is divided into general anatomy and histology, which is the relationship between the morphology, structure, location, and structure and function of the normal human body, and is the morphological basis of the study of physiology. Physiology is the science of studying the law of normal human life activity and physiological function, how these functions are realized and what factors they are subjected to. The course enables students to obtain human anatomy and physiology of basic theory, basic knowledge and basic skills; master the basic form and structure of each organ system, and each organ system mainly physiological process and its mechanism.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The goal of this course is to provide the basics of human physiology --that is, the mechanisms by which the organ systems of the human body function, with a unique emphasis on the quantitative aspects of the human systems. Another goal of this course is to provide quantitative ways in which biomedical engineering and cell biology are being used to address problems of health and disease based on the principles of physiology.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Following completion of this course students will be able to: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1) Provide knowledge base and understanding of the physiological processes underlying health and disease in the major organ systems of the body.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2) Summarize the major functions of the nervous system, muscular system, cardiovascular system, respiratory system, renal system, gastrointestinal system, and endocrine system.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3) Describe the concept of homeostasis as it applies to physiological systems.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4) Provide knowledge base and understanding of the molecular and cellular mechanisms of physiological processes, in order to provide a foundation for understanding biomedical engineering in subsequent courses. </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5) Provide sound basis in physiological principles and knowledge in the application of biomedical engineering fields.</w:t>
            </w:r>
          </w:p>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 xml:space="preserve">This course is divided Anatomy and physiology I and Anatomy and physiology II into two terms, total 64 credit hours. </w:t>
            </w:r>
          </w:p>
          <w:p>
            <w:pPr>
              <w:widowControl/>
              <w:jc w:val="left"/>
              <w:textAlignment w:val="center"/>
              <w:rPr>
                <w:rStyle w:val="7"/>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课程目标与内容（</w:t>
            </w:r>
            <w:r>
              <w:rPr>
                <w:rStyle w:val="5"/>
                <w:rFonts w:eastAsia="宋体"/>
                <w:lang w:bidi="ar"/>
              </w:rPr>
              <w:t>Course objectives and contents</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1. </w:t>
            </w:r>
            <w:r>
              <w:rPr>
                <w:rFonts w:hint="eastAsia" w:ascii="Times New Roman" w:hAnsi="Times New Roman" w:eastAsia="微软雅黑" w:cs="Times New Roman"/>
                <w:color w:val="000000"/>
                <w:kern w:val="0"/>
                <w:sz w:val="18"/>
                <w:szCs w:val="18"/>
                <w:lang w:bidi="ar"/>
              </w:rPr>
              <w:t>能够运用数学、物理、化学、生物、医学和工程学知识解决复杂的生物医学工程问题（A</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，D</w:t>
            </w: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2. </w:t>
            </w:r>
            <w:r>
              <w:rPr>
                <w:rFonts w:hint="eastAsia" w:ascii="Times New Roman" w:hAnsi="Times New Roman" w:eastAsia="微软雅黑" w:cs="Times New Roman"/>
                <w:color w:val="000000"/>
                <w:kern w:val="0"/>
                <w:sz w:val="18"/>
                <w:szCs w:val="18"/>
                <w:lang w:bidi="ar"/>
              </w:rPr>
              <w:t>能够针对生命系统中的问题提出假设和设计实验（B</w:t>
            </w:r>
            <w:r>
              <w:rPr>
                <w:rFonts w:ascii="Times New Roman" w:hAnsi="Times New Roman" w:eastAsia="微软雅黑" w:cs="Times New Roman"/>
                <w:color w:val="000000"/>
                <w:kern w:val="0"/>
                <w:sz w:val="18"/>
                <w:szCs w:val="18"/>
                <w:lang w:bidi="ar"/>
              </w:rPr>
              <w:t>4</w:t>
            </w:r>
            <w:r>
              <w:rPr>
                <w:rFonts w:hint="eastAsia" w:ascii="Times New Roman" w:hAnsi="Times New Roman" w:eastAsia="微软雅黑" w:cs="Times New Roman"/>
                <w:color w:val="000000"/>
                <w:kern w:val="0"/>
                <w:sz w:val="18"/>
                <w:szCs w:val="18"/>
                <w:lang w:bidi="ar"/>
              </w:rPr>
              <w:t>，C</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能够运用适当的学习策略，自主学习并查找待解决问题相关信息（A</w:t>
            </w:r>
            <w:r>
              <w:rPr>
                <w:rFonts w:hint="eastAsia" w:ascii="Times New Roman" w:hAnsi="Times New Roman" w:eastAsia="微软雅黑" w:cs="Times New Roman"/>
                <w:color w:val="000000"/>
                <w:kern w:val="0"/>
                <w:sz w:val="18"/>
                <w:szCs w:val="18"/>
                <w:lang w:val="en-US" w:eastAsia="zh-CN" w:bidi="ar"/>
              </w:rPr>
              <w:t>1</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，C</w:t>
            </w:r>
            <w:r>
              <w:rPr>
                <w:rFonts w:ascii="Times New Roman" w:hAnsi="Times New Roman" w:eastAsia="微软雅黑" w:cs="Times New Roman"/>
                <w:color w:val="000000"/>
                <w:kern w:val="0"/>
                <w:sz w:val="18"/>
                <w:szCs w:val="18"/>
                <w:lang w:bidi="ar"/>
              </w:rPr>
              <w:t>5</w:t>
            </w:r>
            <w:r>
              <w:rPr>
                <w:rFonts w:hint="eastAsia" w:ascii="Times New Roman" w:hAnsi="Times New Roman" w:eastAsia="微软雅黑" w:cs="Times New Roman"/>
                <w:color w:val="000000"/>
                <w:kern w:val="0"/>
                <w:sz w:val="18"/>
                <w:szCs w:val="18"/>
                <w:lang w:bidi="ar"/>
              </w:rPr>
              <w:t>）</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both"/>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,2,9</w:t>
            </w:r>
          </w:p>
        </w:tc>
      </w:tr>
      <w:tr>
        <w:tblPrEx>
          <w:tblCellMar>
            <w:top w:w="0" w:type="dxa"/>
            <w:left w:w="0" w:type="dxa"/>
            <w:bottom w:w="0" w:type="dxa"/>
            <w:right w:w="0" w:type="dxa"/>
          </w:tblCellMar>
        </w:tblPrEx>
        <w:trPr>
          <w:trHeight w:val="66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,3,7,9</w:t>
            </w:r>
          </w:p>
        </w:tc>
      </w:tr>
      <w:tr>
        <w:tblPrEx>
          <w:tblCellMar>
            <w:top w:w="0" w:type="dxa"/>
            <w:left w:w="0" w:type="dxa"/>
            <w:bottom w:w="0" w:type="dxa"/>
            <w:right w:w="0" w:type="dxa"/>
          </w:tblCellMar>
        </w:tblPrEx>
        <w:trPr>
          <w:trHeight w:val="63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1,3,7,9</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绪论</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研究方法，与医学的关系，内环境和稳态的概念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1次作业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w:t>
            </w:r>
            <w:r>
              <w:rPr>
                <w:rFonts w:hint="eastAsia" w:ascii="Times New Roman" w:hAnsi="Times New Roman" w:eastAsia="微软雅黑" w:cs="Times New Roman"/>
                <w:color w:val="000000"/>
                <w:kern w:val="0"/>
                <w:sz w:val="18"/>
                <w:szCs w:val="18"/>
                <w:lang w:bidi="ar"/>
              </w:rPr>
              <w:t>敬重生命</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二</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细胞的基本功能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细胞跨膜转运，静息及动作电位的产生机制</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1次作业，</w:t>
            </w: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虚拟实验，1次随堂测验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三</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神经及运动系统</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神经元形态及功能，突触传递的过程，感受器及其一般生理特性，骨骼肌神经-肌接头处兴奋的传递，神经系统对姿势和运动的调节</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2次作业，</w:t>
            </w: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参观，1次随堂测验</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四</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皮肤、能量代谢和体温</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皮肤的结构与功能，能量代谢的概念，体温调节功能</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五</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泌尿系统</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肾小管物质转运的方式，尿生成的调节</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1次作业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六</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生殖系统（男性）</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男性生殖系统功能</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w:t>
            </w: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随堂测验</w:t>
            </w:r>
            <w:r>
              <w:rPr>
                <w:rFonts w:ascii="Times New Roman" w:hAnsi="Times New Roman" w:eastAsia="微软雅黑" w:cs="Times New Roman"/>
                <w:color w:val="000000"/>
                <w:kern w:val="0"/>
                <w:sz w:val="18"/>
                <w:szCs w:val="18"/>
                <w:lang w:bidi="ar"/>
              </w:rPr>
              <w:t xml:space="preserve">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w:t>
            </w:r>
            <w:r>
              <w:rPr>
                <w:rFonts w:hint="eastAsia" w:ascii="Times New Roman" w:hAnsi="Times New Roman" w:eastAsia="微软雅黑" w:cs="Times New Roman"/>
                <w:color w:val="000000"/>
                <w:kern w:val="0"/>
                <w:sz w:val="18"/>
                <w:szCs w:val="18"/>
                <w:lang w:bidi="ar"/>
              </w:rPr>
              <w:t>4</w:t>
            </w:r>
            <w:r>
              <w:rPr>
                <w:rFonts w:ascii="Times New Roman" w:hAnsi="Times New Roman" w:eastAsia="微软雅黑" w:cs="Times New Roman"/>
                <w:color w:val="000000"/>
                <w:kern w:val="0"/>
                <w:sz w:val="18"/>
                <w:szCs w:val="18"/>
                <w:lang w:bidi="ar"/>
              </w:rPr>
              <w:t>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课堂表现及</w:t>
            </w:r>
            <w:r>
              <w:rPr>
                <w:rFonts w:ascii="Times New Roman" w:hAnsi="Times New Roman" w:eastAsia="微软雅黑" w:cs="Times New Roman"/>
                <w:color w:val="000000"/>
                <w:kern w:val="0"/>
                <w:sz w:val="18"/>
                <w:szCs w:val="18"/>
                <w:lang w:bidi="ar"/>
              </w:rPr>
              <w:t xml:space="preserve">平时作业 </w:t>
            </w: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两次随堂测验</w:t>
            </w:r>
            <w:r>
              <w:rPr>
                <w:rFonts w:ascii="Times New Roman" w:hAnsi="Times New Roman" w:eastAsia="微软雅黑" w:cs="Times New Roman"/>
                <w:color w:val="000000"/>
                <w:kern w:val="0"/>
                <w:sz w:val="18"/>
                <w:szCs w:val="18"/>
                <w:lang w:bidi="ar"/>
              </w:rPr>
              <w:t xml:space="preserve"> 30分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40分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«生理学»， 主编：王庭槐，人民卫生出版社，2019年3月，第9版，ISBN：978-7-117-26659-9</w:t>
            </w:r>
          </w:p>
          <w:p>
            <w:pPr>
              <w:widowControl/>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«系统解剖学»， 主编：丁文龙、刘学政，人民卫生出版社，2019年3月，第9版，ISBN：978-7-117-26718-</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无</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5000" w:type="pct"/>
        <w:tblInd w:w="0" w:type="dxa"/>
        <w:shd w:val="clear" w:color="auto" w:fill="auto"/>
        <w:tblLayout w:type="autofit"/>
        <w:tblCellMar>
          <w:top w:w="0" w:type="dxa"/>
          <w:left w:w="0" w:type="dxa"/>
          <w:bottom w:w="0" w:type="dxa"/>
          <w:right w:w="0" w:type="dxa"/>
        </w:tblCellMar>
      </w:tblPr>
      <w:tblGrid>
        <w:gridCol w:w="1449"/>
        <w:gridCol w:w="1344"/>
        <w:gridCol w:w="1430"/>
        <w:gridCol w:w="1365"/>
        <w:gridCol w:w="1445"/>
        <w:gridCol w:w="1293"/>
      </w:tblGrid>
      <w:tr>
        <w:tblPrEx>
          <w:tblCellMar>
            <w:top w:w="0" w:type="dxa"/>
            <w:left w:w="0" w:type="dxa"/>
            <w:bottom w:w="0" w:type="dxa"/>
            <w:right w:w="0" w:type="dxa"/>
          </w:tblCellMar>
        </w:tblPrEx>
        <w:trPr>
          <w:trHeight w:val="1095" w:hRule="atLeast"/>
        </w:trPr>
        <w:tc>
          <w:tcPr>
            <w:tcW w:w="5000" w:type="pct"/>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tblCellMar>
            <w:top w:w="0" w:type="dxa"/>
            <w:left w:w="0" w:type="dxa"/>
            <w:bottom w:w="0" w:type="dxa"/>
            <w:right w:w="0" w:type="dxa"/>
          </w:tblCellMar>
        </w:tblPrEx>
        <w:trPr>
          <w:trHeight w:val="360" w:hRule="atLeast"/>
        </w:trPr>
        <w:tc>
          <w:tcPr>
            <w:tcW w:w="167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726565" cy="812800"/>
                  <wp:effectExtent l="0" t="0" r="635" b="0"/>
                  <wp:wrapNone/>
                  <wp:docPr id="4" name="直接连接符_2"/>
                  <wp:cNvGraphicFramePr/>
                  <a:graphic xmlns:a="http://schemas.openxmlformats.org/drawingml/2006/main">
                    <a:graphicData uri="http://schemas.openxmlformats.org/drawingml/2006/picture">
                      <pic:pic xmlns:pic="http://schemas.openxmlformats.org/drawingml/2006/picture">
                        <pic:nvPicPr>
                          <pic:cNvPr id="4" name="直接连接符_2"/>
                          <pic:cNvPicPr/>
                        </pic:nvPicPr>
                        <pic:blipFill>
                          <a:blip r:embed="rId4"/>
                          <a:stretch>
                            <a:fillRect/>
                          </a:stretch>
                        </pic:blipFill>
                        <pic:spPr>
                          <a:xfrm>
                            <a:off x="0" y="0"/>
                            <a:ext cx="1726565" cy="81280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851535" cy="813435"/>
                  <wp:effectExtent l="0" t="0" r="12065" b="12065"/>
                  <wp:wrapNone/>
                  <wp:docPr id="3" name="直接连接符_4"/>
                  <wp:cNvGraphicFramePr/>
                  <a:graphic xmlns:a="http://schemas.openxmlformats.org/drawingml/2006/main">
                    <a:graphicData uri="http://schemas.openxmlformats.org/drawingml/2006/picture">
                      <pic:pic xmlns:pic="http://schemas.openxmlformats.org/drawingml/2006/picture">
                        <pic:nvPicPr>
                          <pic:cNvPr id="3" name="直接连接符_4"/>
                          <pic:cNvPicPr/>
                        </pic:nvPicPr>
                        <pic:blipFill>
                          <a:blip r:embed="rId5"/>
                          <a:stretch>
                            <a:fillRect/>
                          </a:stretch>
                        </pic:blipFill>
                        <pic:spPr>
                          <a:xfrm>
                            <a:off x="0" y="0"/>
                            <a:ext cx="851535" cy="81343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82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tblCellMar>
            <w:top w:w="0" w:type="dxa"/>
            <w:left w:w="0" w:type="dxa"/>
            <w:bottom w:w="0" w:type="dxa"/>
            <w:right w:w="0" w:type="dxa"/>
          </w:tblCellMar>
        </w:tblPrEx>
        <w:trPr>
          <w:trHeight w:val="920" w:hRule="atLeast"/>
        </w:trPr>
        <w:tc>
          <w:tcPr>
            <w:tcW w:w="167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8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0" w:hRule="atLeast"/>
        </w:trPr>
        <w:tc>
          <w:tcPr>
            <w:tcW w:w="8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20"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68"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72"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30" w:hRule="atLeast"/>
        </w:trPr>
        <w:tc>
          <w:tcPr>
            <w:tcW w:w="8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Quiz </w:t>
            </w:r>
            <w:r>
              <w:rPr>
                <w:rFonts w:hint="eastAsia" w:ascii="宋体" w:hAnsi="宋体" w:eastAsia="宋体" w:cs="宋体"/>
                <w:i w:val="0"/>
                <w:color w:val="000000"/>
                <w:kern w:val="0"/>
                <w:sz w:val="22"/>
                <w:szCs w:val="22"/>
                <w:u w:val="none"/>
                <w:lang w:val="en-US" w:eastAsia="zh-CN" w:bidi="ar"/>
              </w:rPr>
              <w:t>1</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820"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868"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772"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r>
      <w:tr>
        <w:tblPrEx>
          <w:tblCellMar>
            <w:top w:w="0" w:type="dxa"/>
            <w:left w:w="0" w:type="dxa"/>
            <w:bottom w:w="0" w:type="dxa"/>
            <w:right w:w="0" w:type="dxa"/>
          </w:tblCellMar>
        </w:tblPrEx>
        <w:trPr>
          <w:trHeight w:val="379" w:hRule="atLeast"/>
        </w:trPr>
        <w:tc>
          <w:tcPr>
            <w:tcW w:w="8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Quiz 2</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r>
      <w:tr>
        <w:tblPrEx>
          <w:tblCellMar>
            <w:top w:w="0" w:type="dxa"/>
            <w:left w:w="0" w:type="dxa"/>
            <w:bottom w:w="0" w:type="dxa"/>
            <w:right w:w="0" w:type="dxa"/>
          </w:tblCellMar>
        </w:tblPrEx>
        <w:trPr>
          <w:trHeight w:val="360" w:hRule="atLeast"/>
        </w:trPr>
        <w:tc>
          <w:tcPr>
            <w:tcW w:w="8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r>
      <w:tr>
        <w:tblPrEx>
          <w:tblCellMar>
            <w:top w:w="0" w:type="dxa"/>
            <w:left w:w="0" w:type="dxa"/>
            <w:bottom w:w="0" w:type="dxa"/>
            <w:right w:w="0" w:type="dxa"/>
          </w:tblCellMar>
        </w:tblPrEx>
        <w:trPr>
          <w:trHeight w:val="300" w:hRule="atLeast"/>
        </w:trPr>
        <w:tc>
          <w:tcPr>
            <w:tcW w:w="8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2" w:hRule="atLeast"/>
        </w:trPr>
        <w:tc>
          <w:tcPr>
            <w:tcW w:w="16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E49C4"/>
    <w:rsid w:val="00152AC1"/>
    <w:rsid w:val="004862DE"/>
    <w:rsid w:val="005340F8"/>
    <w:rsid w:val="0072363C"/>
    <w:rsid w:val="00741462"/>
    <w:rsid w:val="007C234D"/>
    <w:rsid w:val="00870006"/>
    <w:rsid w:val="00A93CDD"/>
    <w:rsid w:val="00A971AE"/>
    <w:rsid w:val="00D20824"/>
    <w:rsid w:val="00DE7180"/>
    <w:rsid w:val="00FA3890"/>
    <w:rsid w:val="00FD054C"/>
    <w:rsid w:val="25724ACC"/>
    <w:rsid w:val="2E306B73"/>
    <w:rsid w:val="37F14E89"/>
    <w:rsid w:val="579127C7"/>
    <w:rsid w:val="5F054C16"/>
    <w:rsid w:val="64F23C65"/>
    <w:rsid w:val="659219A9"/>
    <w:rsid w:val="68BC780D"/>
    <w:rsid w:val="68EF671E"/>
    <w:rsid w:val="762333E2"/>
    <w:rsid w:val="7640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character" w:customStyle="1" w:styleId="11">
    <w:name w:val="font1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2033</Words>
  <Characters>2501</Characters>
  <Lines>416</Lines>
  <Paragraphs>226</Paragraphs>
  <TotalTime>0</TotalTime>
  <ScaleCrop>false</ScaleCrop>
  <LinksUpToDate>false</LinksUpToDate>
  <CharactersWithSpaces>4308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2021-03-08T04:56:33Z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