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生物学导论</w:t>
      </w:r>
      <w:r>
        <w:rPr>
          <w:rFonts w:ascii="Times New Roman" w:hAnsi="Times New Roman" w:cs="Times New Roman"/>
          <w:b/>
          <w:sz w:val="32"/>
          <w:szCs w:val="32"/>
        </w:rPr>
        <w:t>》课程教学大纲（2020版）</w:t>
      </w:r>
    </w:p>
    <w:p>
      <w:pPr>
        <w:rPr>
          <w:rFonts w:ascii="Times New Roman" w:hAnsi="Times New Roman" w:cs="Times New Roman"/>
        </w:rPr>
      </w:pPr>
    </w:p>
    <w:tbl>
      <w:tblPr>
        <w:tblStyle w:val="2"/>
        <w:tblW w:w="8336" w:type="dxa"/>
        <w:tblInd w:w="0" w:type="dxa"/>
        <w:tblLayout w:type="fixed"/>
        <w:tblCellMar>
          <w:top w:w="0" w:type="dxa"/>
          <w:left w:w="0" w:type="dxa"/>
          <w:bottom w:w="0" w:type="dxa"/>
          <w:right w:w="0" w:type="dxa"/>
        </w:tblCellMar>
      </w:tblPr>
      <w:tblGrid>
        <w:gridCol w:w="1257"/>
        <w:gridCol w:w="581"/>
        <w:gridCol w:w="600"/>
        <w:gridCol w:w="1661"/>
        <w:gridCol w:w="432"/>
        <w:gridCol w:w="868"/>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4"/>
                <w:rFonts w:ascii="Times New Roman" w:hAnsi="Times New Roman" w:cs="Times New Roman"/>
                <w:lang w:bidi="ar"/>
              </w:rPr>
              <w:t>课程基本信息（</w:t>
            </w:r>
            <w:r>
              <w:rPr>
                <w:rStyle w:val="5"/>
                <w:rFonts w:eastAsia="宋体"/>
                <w:lang w:bidi="ar"/>
              </w:rPr>
              <w:t>Course Information</w:t>
            </w:r>
            <w:r>
              <w:rPr>
                <w:rStyle w:val="4"/>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7"/>
                <w:rFonts w:hint="default" w:ascii="Times New Roman" w:hAnsi="Times New Roman" w:cs="Times New Roman"/>
                <w:lang w:bidi="ar"/>
              </w:rPr>
              <w:t>（</w:t>
            </w:r>
            <w:r>
              <w:rPr>
                <w:rStyle w:val="6"/>
                <w:rFonts w:eastAsia="微软雅黑"/>
                <w:lang w:bidi="ar"/>
              </w:rPr>
              <w:t>Course Code</w:t>
            </w:r>
            <w:r>
              <w:rPr>
                <w:rStyle w:val="7"/>
                <w:rFonts w:hint="default" w:ascii="Times New Roman" w:hAnsi="Times New Roman" w:cs="Times New Roman"/>
                <w:lang w:bidi="ar"/>
              </w:rPr>
              <w:t>）</w:t>
            </w:r>
          </w:p>
        </w:tc>
        <w:tc>
          <w:tcPr>
            <w:tcW w:w="28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rPr>
              <w:t>BI</w:t>
            </w:r>
            <w:r>
              <w:t>120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学时（</w:t>
            </w:r>
            <w:r>
              <w:rPr>
                <w:rStyle w:val="6"/>
                <w:rFonts w:eastAsia="宋体"/>
                <w:lang w:bidi="ar"/>
              </w:rPr>
              <w:t>Credit Hours</w:t>
            </w:r>
            <w:r>
              <w:rPr>
                <w:rStyle w:val="7"/>
                <w:rFonts w:hint="default" w:ascii="Times New Roman" w:hAnsi="Times New Roman" w:cs="Times New Roman"/>
                <w:lang w:bidi="ar"/>
              </w:rPr>
              <w:t>）</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ascii="Times New Roman" w:hAnsi="Times New Roman" w:eastAsia="宋体" w:cs="Times New Roman"/>
                <w:color w:val="000000" w:themeColor="text1"/>
                <w:sz w:val="18"/>
                <w:szCs w:val="18"/>
                <w14:textFill>
                  <w14:solidFill>
                    <w14:schemeClr w14:val="tx1"/>
                  </w14:solidFill>
                </w14:textFill>
              </w:rPr>
              <w:t>32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学分（</w:t>
            </w:r>
            <w:r>
              <w:rPr>
                <w:rStyle w:val="6"/>
                <w:rFonts w:eastAsia="宋体"/>
                <w:lang w:bidi="ar"/>
              </w:rPr>
              <w:t>Credits</w:t>
            </w:r>
            <w:r>
              <w:rPr>
                <w:rStyle w:val="7"/>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课程名称（</w:t>
            </w:r>
            <w:r>
              <w:rPr>
                <w:rStyle w:val="6"/>
                <w:rFonts w:eastAsia="宋体"/>
                <w:lang w:bidi="ar"/>
              </w:rPr>
              <w:t>Course Name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楷体" w:hAnsi="楷体" w:eastAsia="楷体"/>
                <w:color w:val="000000" w:themeColor="text1"/>
                <w14:textFill>
                  <w14:solidFill>
                    <w14:schemeClr w14:val="tx1"/>
                  </w14:solidFill>
                </w14:textFill>
              </w:rPr>
              <w:t>生物学导论</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ascii="楷体" w:hAnsi="楷体" w:eastAsia="楷体"/>
                <w:color w:val="000000" w:themeColor="text1"/>
                <w14:textFill>
                  <w14:solidFill>
                    <w14:schemeClr w14:val="tx1"/>
                  </w14:solidFill>
                </w14:textFill>
              </w:rPr>
              <w:t>Introduction</w:t>
            </w:r>
            <w:r>
              <w:rPr>
                <w:rFonts w:ascii="楷体" w:hAnsi="楷体" w:eastAsia="楷体"/>
                <w:color w:val="000000" w:themeColor="text1"/>
                <w14:textFill>
                  <w14:solidFill>
                    <w14:schemeClr w14:val="tx1"/>
                  </w14:solidFill>
                </w14:textFill>
              </w:rPr>
              <w:t xml:space="preserve"> to </w:t>
            </w:r>
            <w:r>
              <w:rPr>
                <w:rFonts w:hint="eastAsia" w:ascii="楷体" w:hAnsi="楷体" w:eastAsia="楷体"/>
                <w:color w:val="000000" w:themeColor="text1"/>
                <w14:textFill>
                  <w14:solidFill>
                    <w14:schemeClr w14:val="tx1"/>
                  </w14:solidFill>
                </w14:textFill>
              </w:rPr>
              <w:t>Bio</w:t>
            </w:r>
            <w:r>
              <w:rPr>
                <w:rFonts w:ascii="楷体" w:hAnsi="楷体" w:eastAsia="楷体"/>
                <w:color w:val="000000" w:themeColor="text1"/>
                <w14:textFill>
                  <w14:solidFill>
                    <w14:schemeClr w14:val="tx1"/>
                  </w14:solidFill>
                </w14:textFill>
              </w:rPr>
              <w:t>medical Science</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6"/>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专业必修课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7"/>
                <w:rFonts w:hint="default" w:ascii="Times New Roman" w:hAnsi="Times New Roman" w:cs="Times New Roman"/>
                <w:lang w:bidi="ar"/>
              </w:rPr>
              <w:t>（</w:t>
            </w:r>
            <w:r>
              <w:rPr>
                <w:rStyle w:val="6"/>
                <w:rFonts w:eastAsia="微软雅黑"/>
                <w:lang w:bidi="ar"/>
              </w:rPr>
              <w:t>Target Audience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生物医学工程专业本科二年级学生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6"/>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全中文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开课院系（</w:t>
            </w:r>
            <w:r>
              <w:rPr>
                <w:rStyle w:val="6"/>
                <w:rFonts w:eastAsia="宋体"/>
                <w:lang w:bidi="ar"/>
              </w:rPr>
              <w:t>School</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Times New Roman" w:asciiTheme="minorEastAsia" w:hAnsiTheme="minorEastAsia"/>
                <w:sz w:val="18"/>
                <w:szCs w:val="18"/>
              </w:rPr>
            </w:pPr>
            <w:r>
              <w:rPr>
                <w:rFonts w:hint="eastAsia" w:cs="宋体" w:asciiTheme="minorEastAsia" w:hAnsiTheme="minorEastAsia"/>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7"/>
                <w:rFonts w:hint="default" w:ascii="Times New Roman" w:hAnsi="Times New Roman" w:cs="Times New Roman"/>
                <w:lang w:bidi="ar"/>
              </w:rPr>
              <w:t>（</w:t>
            </w:r>
            <w:r>
              <w:rPr>
                <w:rStyle w:val="6"/>
                <w:rFonts w:eastAsia="微软雅黑"/>
                <w:lang w:bidi="ar"/>
              </w:rPr>
              <w:t>Prerequisite</w:t>
            </w:r>
            <w:r>
              <w:rPr>
                <w:rStyle w:val="7"/>
                <w:rFonts w:hint="default" w:ascii="Times New Roman" w:hAnsi="Times New Roman" w:cs="Times New Roman"/>
                <w:lang w:bidi="ar"/>
              </w:rPr>
              <w:t>）</w:t>
            </w:r>
          </w:p>
        </w:tc>
        <w:tc>
          <w:tcPr>
            <w:tcW w:w="28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无</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6"/>
                <w:rFonts w:eastAsia="微软雅黑"/>
                <w:color w:val="auto"/>
                <w:lang w:bidi="ar"/>
              </w:rPr>
              <w:br w:type="textWrapping"/>
            </w:r>
            <w:r>
              <w:rPr>
                <w:rStyle w:val="6"/>
                <w:rFonts w:eastAsia="微软雅黑"/>
                <w:color w:val="auto"/>
                <w:lang w:bidi="ar"/>
              </w:rPr>
              <w:t>(post</w:t>
            </w:r>
            <w:r>
              <w:rPr>
                <w:rStyle w:val="7"/>
                <w:rFonts w:hint="default" w:ascii="Times New Roman" w:hAnsi="Times New Roman" w:cs="Times New Roman"/>
                <w:color w:val="auto"/>
                <w:lang w:bidi="ar"/>
              </w:rPr>
              <w:t>）</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课程负责人（</w:t>
            </w:r>
            <w:r>
              <w:rPr>
                <w:rStyle w:val="6"/>
                <w:rFonts w:eastAsia="微软雅黑"/>
                <w:lang w:bidi="ar"/>
              </w:rPr>
              <w:t>Instructor</w:t>
            </w:r>
            <w:r>
              <w:rPr>
                <w:rStyle w:val="7"/>
                <w:rFonts w:hint="default" w:ascii="Times New Roman" w:hAnsi="Times New Roman" w:cs="Times New Roman"/>
                <w:lang w:bidi="ar"/>
              </w:rPr>
              <w:t>）</w:t>
            </w:r>
          </w:p>
        </w:tc>
        <w:tc>
          <w:tcPr>
            <w:tcW w:w="28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张岩</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6"/>
                <w:rFonts w:eastAsia="微软雅黑"/>
                <w:color w:val="auto"/>
                <w:lang w:bidi="ar"/>
              </w:rPr>
              <w:br w:type="textWrapping"/>
            </w:r>
            <w:r>
              <w:rPr>
                <w:rStyle w:val="6"/>
                <w:rFonts w:eastAsia="微软雅黑"/>
                <w:color w:val="auto"/>
                <w:lang w:bidi="ar"/>
              </w:rPr>
              <w:t>(Course Webpage)</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课程简介（中文）（</w:t>
            </w:r>
            <w:r>
              <w:rPr>
                <w:rStyle w:val="6"/>
                <w:rFonts w:eastAsia="宋体"/>
                <w:lang w:bidi="ar"/>
              </w:rPr>
              <w:t>Description</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6"/>
                <w:rFonts w:eastAsia="微软雅黑"/>
                <w:color w:val="auto"/>
                <w:lang w:bidi="ar"/>
              </w:rPr>
              <w:t>300-500</w:t>
            </w:r>
            <w:r>
              <w:rPr>
                <w:rStyle w:val="7"/>
                <w:rFonts w:hint="default" w:ascii="Times New Roman" w:hAnsi="Times New Roman" w:cs="Times New Roman"/>
                <w:color w:val="auto"/>
                <w:lang w:bidi="ar"/>
              </w:rPr>
              <w:t>字，含课程性质、主要教学内容、课程教学目标等）</w:t>
            </w:r>
          </w:p>
          <w:p>
            <w:pPr>
              <w:ind w:firstLine="360" w:firstLineChars="200"/>
              <w:rPr>
                <w:rFonts w:cs="宋体" w:asciiTheme="minorEastAsia" w:hAnsiTheme="minorEastAsia"/>
                <w:sz w:val="18"/>
                <w:szCs w:val="18"/>
              </w:rPr>
            </w:pPr>
            <w:r>
              <w:rPr>
                <w:rFonts w:cs="宋体" w:asciiTheme="minorEastAsia" w:hAnsiTheme="minorEastAsia"/>
                <w:sz w:val="18"/>
                <w:szCs w:val="18"/>
              </w:rPr>
              <w:t>《</w:t>
            </w:r>
            <w:r>
              <w:rPr>
                <w:rFonts w:hint="eastAsia" w:cs="宋体" w:asciiTheme="minorEastAsia" w:hAnsiTheme="minorEastAsia"/>
                <w:sz w:val="18"/>
                <w:szCs w:val="18"/>
              </w:rPr>
              <w:t>生物学导论》是面向生物医学工程专业本科二年级学生开设的一门基础课，通过本课程的学习使学生能够系统地学习和认识生命活动本质，了解生物医学在解决人类社会生存与发展所面临的系列问题中发挥的重要作用。</w:t>
            </w:r>
          </w:p>
          <w:p>
            <w:pPr>
              <w:ind w:firstLine="360" w:firstLineChars="200"/>
              <w:rPr>
                <w:rFonts w:cs="宋体" w:asciiTheme="minorEastAsia" w:hAnsiTheme="minorEastAsia"/>
                <w:sz w:val="18"/>
                <w:szCs w:val="18"/>
              </w:rPr>
            </w:pPr>
            <w:r>
              <w:rPr>
                <w:rFonts w:hint="eastAsia" w:cs="宋体" w:asciiTheme="minorEastAsia" w:hAnsiTheme="minorEastAsia"/>
                <w:sz w:val="18"/>
                <w:szCs w:val="18"/>
              </w:rPr>
              <w:t>讲授内容涵盖细胞生物学、分子生物学、遗传学、免疫学、医学等方面的基本概念，主要内容包括细胞的基本形态、结构和功能，细胞的能量代谢，细胞的遗传和变异，细胞的生与死，胚胎发育和衰老，干细胞生物学和干细胞的应用，细胞的社会性，细胞之间的信号传导，细胞之间的连接，人造器官和组织工程，感染和免疫，以及生态系统</w:t>
            </w:r>
            <w:r>
              <w:rPr>
                <w:rFonts w:hint="eastAsia" w:cs="宋体" w:asciiTheme="minorEastAsia" w:hAnsiTheme="minorEastAsia"/>
                <w:color w:val="000000"/>
                <w:sz w:val="18"/>
                <w:szCs w:val="18"/>
              </w:rPr>
              <w:t>。</w:t>
            </w:r>
          </w:p>
          <w:p>
            <w:pPr>
              <w:widowControl/>
              <w:jc w:val="left"/>
              <w:textAlignment w:val="center"/>
              <w:rPr>
                <w:rStyle w:val="7"/>
                <w:rFonts w:hint="default" w:ascii="Times New Roman" w:hAnsi="Times New Roman" w:cs="Times New Roman"/>
                <w:color w:val="auto"/>
                <w:lang w:bidi="ar"/>
              </w:rPr>
            </w:pPr>
            <w:r>
              <w:rPr>
                <w:rFonts w:hint="eastAsia" w:cs="宋体" w:asciiTheme="minorEastAsia" w:hAnsiTheme="minorEastAsia"/>
                <w:sz w:val="18"/>
                <w:szCs w:val="18"/>
              </w:rPr>
              <w:t>通过理论介绍、课堂讨论等多种形式，从微观和宏观两个方面讲授生物医学的基本理论和在人类健康领域的应用，突出以人为本，力求为工科方向为主的学生未来更好地从事本专业相关的学习和工作打好基础</w:t>
            </w:r>
            <w:r>
              <w:rPr>
                <w:rFonts w:hint="eastAsia" w:asciiTheme="minorEastAsia" w:hAnsiTheme="minorEastAsia"/>
                <w:color w:val="333333"/>
                <w:sz w:val="18"/>
                <w:szCs w:val="18"/>
              </w:rPr>
              <w:t>。</w:t>
            </w:r>
          </w:p>
          <w:p>
            <w:pPr>
              <w:widowControl/>
              <w:jc w:val="left"/>
              <w:textAlignment w:val="center"/>
              <w:rPr>
                <w:rStyle w:val="7"/>
                <w:rFonts w:hint="default" w:ascii="Times New Roman" w:hAnsi="Times New Roman" w:cs="Times New Roman"/>
                <w:color w:val="auto"/>
                <w:lang w:bidi="ar"/>
              </w:rPr>
            </w:pPr>
          </w:p>
          <w:p>
            <w:pPr>
              <w:widowControl/>
              <w:jc w:val="left"/>
              <w:textAlignment w:val="center"/>
              <w:rPr>
                <w:rStyle w:val="7"/>
                <w:rFonts w:hint="default" w:ascii="Times New Roman" w:hAnsi="Times New Roman" w:cs="Times New Roman"/>
                <w:color w:val="auto"/>
                <w:lang w:bidi="ar"/>
              </w:rPr>
            </w:pP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课程简介（英文）（</w:t>
            </w:r>
            <w:r>
              <w:rPr>
                <w:rStyle w:val="6"/>
                <w:rFonts w:eastAsia="宋体"/>
                <w:lang w:bidi="ar"/>
              </w:rPr>
              <w:t>Description</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6"/>
                <w:rFonts w:eastAsia="微软雅黑"/>
                <w:lang w:bidi="ar"/>
              </w:rPr>
              <w:t>300-500</w:t>
            </w:r>
            <w:r>
              <w:rPr>
                <w:rStyle w:val="7"/>
                <w:rFonts w:hint="default" w:ascii="Times New Roman" w:hAnsi="Times New Roman" w:cs="Times New Roman"/>
                <w:lang w:bidi="ar"/>
              </w:rPr>
              <w:t>字）</w:t>
            </w:r>
          </w:p>
          <w:p>
            <w:pPr>
              <w:widowControl/>
              <w:jc w:val="left"/>
              <w:textAlignment w:val="center"/>
              <w:rPr>
                <w:rStyle w:val="7"/>
                <w:rFonts w:hint="default" w:ascii="Times New Roman" w:hAnsi="Times New Roman" w:cs="Times New Roman"/>
                <w:lang w:bidi="ar"/>
              </w:rPr>
            </w:pPr>
            <w:r>
              <w:rPr>
                <w:color w:val="333333"/>
              </w:rPr>
              <w:t>An Introduction of life science is a basic course for students of biomedical engineering, through the study of this course enables students to systematically learn and understand nature of life activity, to understand the important role of life science in solving a series problems facing human society survival and development, to master the basic knowledge of ecology and biodiversity, genetic, molecular biology, immune, biology engineering, biology technology and the basic concept of major disease prevention, etc. This course imparts the knowledge of the basic theory and application of life science</w:t>
            </w:r>
            <w:r>
              <w:rPr>
                <w:rFonts w:hint="eastAsia"/>
                <w:color w:val="333333"/>
              </w:rPr>
              <w:t xml:space="preserve"> </w:t>
            </w:r>
            <w:r>
              <w:rPr>
                <w:color w:val="333333"/>
              </w:rPr>
              <w:t>from two aspects of micro- and macroscope.</w:t>
            </w:r>
          </w:p>
          <w:p>
            <w:pPr>
              <w:widowControl/>
              <w:jc w:val="left"/>
              <w:textAlignment w:val="center"/>
              <w:rPr>
                <w:rStyle w:val="7"/>
                <w:rFonts w:hint="default" w:ascii="Times New Roman" w:hAnsi="Times New Roman" w:cs="Times New Roman"/>
                <w:lang w:bidi="ar"/>
              </w:rPr>
            </w:pPr>
          </w:p>
          <w:p>
            <w:pPr>
              <w:widowControl/>
              <w:jc w:val="left"/>
              <w:textAlignment w:val="center"/>
              <w:rPr>
                <w:rStyle w:val="7"/>
                <w:rFonts w:hint="default" w:ascii="Times New Roman" w:hAnsi="Times New Roman" w:cs="Times New Roman"/>
                <w:lang w:bidi="ar"/>
              </w:rPr>
            </w:pP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ascii="Times New Roman" w:hAnsi="Times New Roman" w:eastAsia="宋体" w:cs="Times New Roman"/>
                <w:color w:val="000000"/>
                <w:sz w:val="28"/>
                <w:szCs w:val="28"/>
              </w:rPr>
            </w:pPr>
            <w:r>
              <w:rPr>
                <w:rStyle w:val="4"/>
                <w:rFonts w:ascii="Times New Roman" w:hAnsi="Times New Roman" w:cs="Times New Roman"/>
                <w:highlight w:val="none"/>
                <w:lang w:bidi="ar"/>
              </w:rPr>
              <w:t>课程目标与内容（</w:t>
            </w:r>
            <w:r>
              <w:rPr>
                <w:rStyle w:val="5"/>
                <w:rFonts w:eastAsia="宋体"/>
                <w:highlight w:val="none"/>
                <w:lang w:bidi="ar"/>
              </w:rPr>
              <w:t>Course objectives and contents</w:t>
            </w:r>
            <w:r>
              <w:rPr>
                <w:rStyle w:val="4"/>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结合本校办学定位、学生情况、专业人才培养要求，具体描述学习本课程后应该达到的知识、能力、素质、价值水平。</w:t>
            </w:r>
          </w:p>
          <w:p>
            <w:pPr>
              <w:widowControl/>
              <w:jc w:val="left"/>
              <w:textAlignment w:val="center"/>
              <w:rPr>
                <w:rFonts w:hint="eastAsia" w:ascii="宋体" w:hAnsi="宋体" w:eastAsia="宋体" w:cs="宋体"/>
                <w:sz w:val="20"/>
                <w:szCs w:val="20"/>
              </w:rPr>
            </w:pPr>
            <w:r>
              <w:rPr>
                <w:rFonts w:ascii="Times New Roman" w:hAnsi="Times New Roman" w:eastAsia="微软雅黑" w:cs="Times New Roman"/>
                <w:color w:val="000000"/>
                <w:kern w:val="0"/>
                <w:sz w:val="18"/>
                <w:szCs w:val="18"/>
                <w:lang w:bidi="ar"/>
              </w:rPr>
              <w:t>1.</w:t>
            </w:r>
            <w:r>
              <w:rPr>
                <w:rFonts w:hint="eastAsia" w:ascii="Times New Roman" w:hAnsi="Times New Roman" w:eastAsia="微软雅黑" w:cs="Times New Roman"/>
                <w:color w:val="000000"/>
                <w:kern w:val="0"/>
                <w:sz w:val="18"/>
                <w:szCs w:val="18"/>
                <w:lang w:bidi="ar"/>
              </w:rPr>
              <w:t xml:space="preserve"> </w:t>
            </w:r>
            <w:r>
              <w:rPr>
                <w:rFonts w:hint="eastAsia" w:ascii="宋体" w:hAnsi="宋体" w:eastAsia="宋体" w:cs="宋体"/>
                <w:sz w:val="20"/>
                <w:szCs w:val="20"/>
              </w:rPr>
              <w:t>能描述和解释生命和医学相关的基础现象和理论，</w:t>
            </w:r>
            <w:r>
              <w:rPr>
                <w:rFonts w:ascii="宋体" w:hAnsi="宋体" w:eastAsia="宋体" w:cs="宋体"/>
                <w:sz w:val="20"/>
                <w:szCs w:val="20"/>
              </w:rPr>
              <w:t>以国家重大工程为引导增强民族自信，提升专业热情。</w:t>
            </w:r>
            <w:r>
              <w:rPr>
                <w:rFonts w:hint="eastAsia" w:ascii="宋体" w:hAnsi="宋体" w:eastAsia="宋体" w:cs="宋体"/>
                <w:sz w:val="20"/>
                <w:szCs w:val="20"/>
              </w:rPr>
              <w:t>（A1，B1，B2，C3，D1）</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w:t>
            </w:r>
            <w:r>
              <w:rPr>
                <w:rFonts w:hint="eastAsia" w:ascii="Times New Roman" w:hAnsi="Times New Roman" w:eastAsia="微软雅黑" w:cs="Times New Roman"/>
                <w:color w:val="000000"/>
                <w:kern w:val="0"/>
                <w:sz w:val="18"/>
                <w:szCs w:val="18"/>
                <w:lang w:bidi="ar"/>
              </w:rPr>
              <w:t xml:space="preserve"> </w:t>
            </w:r>
            <w:r>
              <w:rPr>
                <w:rFonts w:hint="eastAsia" w:ascii="宋体" w:hAnsi="宋体" w:eastAsia="宋体" w:cs="宋体"/>
                <w:sz w:val="20"/>
                <w:szCs w:val="20"/>
              </w:rPr>
              <w:t>能够具有阅读和写作生命和医学相关的论文的能力。（B3，B4）</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 xml:space="preserve">3. </w:t>
            </w:r>
            <w:r>
              <w:rPr>
                <w:rFonts w:hint="eastAsia" w:ascii="宋体" w:hAnsi="宋体" w:eastAsia="宋体" w:cs="宋体"/>
                <w:sz w:val="20"/>
                <w:szCs w:val="20"/>
              </w:rPr>
              <w:t>能够为后续的课程，如生物化学、生物物理和医学影像等打下坚实的基础。（B4，B5）</w:t>
            </w:r>
          </w:p>
          <w:p>
            <w:pPr>
              <w:widowControl/>
              <w:jc w:val="left"/>
              <w:textAlignment w:val="center"/>
              <w:rPr>
                <w:rFonts w:ascii="Times New Roman" w:hAnsi="Times New Roman" w:eastAsia="微软雅黑" w:cs="Times New Roman"/>
                <w:color w:val="000000"/>
                <w:kern w:val="0"/>
                <w:sz w:val="18"/>
                <w:szCs w:val="18"/>
                <w:lang w:bidi="ar"/>
              </w:rPr>
            </w:pPr>
          </w:p>
          <w:p>
            <w:pPr>
              <w:widowControl/>
              <w:jc w:val="left"/>
              <w:textAlignment w:val="center"/>
              <w:rPr>
                <w:rFonts w:ascii="Times New Roman" w:hAnsi="Times New Roman" w:eastAsia="微软雅黑" w:cs="Times New Roman"/>
                <w:color w:val="000000"/>
                <w:kern w:val="0"/>
                <w:sz w:val="18"/>
                <w:szCs w:val="18"/>
                <w:lang w:bidi="ar"/>
              </w:rPr>
            </w:pP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（说明：以学生为主语清晰叙述，需包含课程育人目标与内容，每个目标后面对应人才培养目标要素）示例：</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1.能了解工程设计的基本方法，认识从设计到制造的全过程，以国家重大工程为引导增强民族自信，提升专业热情。（A4）</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2.能了解产品设计表达的基础，运用正投影的概念表达空间要素，提高形象思维能力，并能正确求解一般空间问题。（B2）</w:t>
            </w: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,3</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课程目标2</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,3</w:t>
            </w:r>
          </w:p>
        </w:tc>
      </w:tr>
      <w:tr>
        <w:tblPrEx>
          <w:tblCellMar>
            <w:top w:w="0" w:type="dxa"/>
            <w:left w:w="0" w:type="dxa"/>
            <w:bottom w:w="0" w:type="dxa"/>
            <w:right w:w="0" w:type="dxa"/>
          </w:tblCellMar>
        </w:tblPrEx>
        <w:trPr>
          <w:trHeight w:val="118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1,3</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教学内容进度安排及对应课程目标 (Class Schedule &amp; Requirements &amp; Course Objectives)</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第一章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绪论</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大量未解之谜等待解析；学科交叉出人才、出成果；对若干哲学问题的思考</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二</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生命的化学基础</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简述构成生命的元素，糖类，脂质，蛋白质，酶，核酸。</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三</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细胞</w:t>
            </w:r>
            <w:r>
              <w:rPr>
                <w:rFonts w:ascii="Times New Roman" w:hAnsi="Times New Roman" w:eastAsia="微软雅黑" w:cs="Times New Roman"/>
                <w:color w:val="000000"/>
                <w:sz w:val="18"/>
                <w:szCs w:val="18"/>
              </w:rPr>
              <w:t xml:space="preserve"> </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细胞质膜和胞间联系，物质跨膜运输，简述细胞器和细胞呼吸。</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四</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细胞周期及其调控</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细胞周期，有丝分裂，细胞周期调控系统。</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五</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遗传的基本规律</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减数分裂和配子发生，遗传的染色体学说，染色体及其基因组，人类染色体畸变</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六</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遗传的分子基础</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DNA的复制，从基因到蛋白质，基因表达的调控</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七</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发育的遗传基础</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早期胚胎发育模式，细胞命运决定，细胞分化</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八</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生物与环境</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个体和种群生态学，生物群落和生态系统</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九</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神经系统及脑病（1）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脑及细胞组成；脑血管疾病的病理及治疗</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神经系统及脑病（2）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神经退行性疾病的病理及治疗；脑疾病研究的技术和新进展</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十一</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感染与免疫（1）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病原微生物、</w:t>
            </w:r>
            <w:r>
              <w:rPr>
                <w:rFonts w:ascii="Times New Roman" w:hAnsi="Times New Roman" w:eastAsia="微软雅黑" w:cs="Times New Roman"/>
                <w:color w:val="000000"/>
                <w:kern w:val="0"/>
                <w:sz w:val="18"/>
                <w:szCs w:val="18"/>
                <w:lang w:bidi="ar"/>
              </w:rPr>
              <w:t>免疫器官与组织、免疫细胞、免疫分子</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十二</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感染与免疫（2）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疫苗的概念和用途、</w:t>
            </w:r>
            <w:r>
              <w:rPr>
                <w:rFonts w:hint="eastAsia" w:ascii="Times New Roman" w:hAnsi="Times New Roman" w:eastAsia="微软雅黑" w:cs="Times New Roman"/>
                <w:color w:val="000000"/>
                <w:kern w:val="0"/>
                <w:sz w:val="18"/>
                <w:szCs w:val="18"/>
                <w:lang w:bidi="ar"/>
              </w:rPr>
              <w:t>医学影像中靶向化分子探针的设计等</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十三</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肿瘤的致病机理与治疗新方式</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肿瘤的遗传基础，肿瘤免疫的新进展</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十四</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人造器官和组织工程</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组织工程的三要素是细胞、支架和信号</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十五</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生物学常用技术及其新进展（1）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细胞操作基本技术；基因工程及其新进展</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十六</w:t>
            </w:r>
            <w:r>
              <w:rPr>
                <w:rFonts w:ascii="Times New Roman" w:hAnsi="Times New Roman" w:eastAsia="微软雅黑" w:cs="Times New Roman"/>
                <w:color w:val="000000"/>
                <w:kern w:val="0"/>
                <w:sz w:val="18"/>
                <w:szCs w:val="18"/>
                <w:lang w:bidi="ar"/>
              </w:rPr>
              <w:t>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生物学常用技术及其新进展（2）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免疫学检测技术；DNA测序方法的发展</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预复习，</w:t>
            </w:r>
          </w:p>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掌握基本概念和理论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以国家重大工程为引导增强民族自信，提升专业热情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课程目标达成度评价</w:t>
            </w:r>
          </w:p>
          <w:p>
            <w:pPr>
              <w:widowControl/>
              <w:jc w:val="center"/>
              <w:textAlignment w:val="center"/>
              <w:rPr>
                <w:rStyle w:val="7"/>
                <w:rFonts w:hint="default" w:ascii="Times New Roman" w:hAnsi="Times New Roman" w:cs="Times New Roman"/>
                <w:lang w:bidi="ar"/>
              </w:rPr>
            </w:pPr>
          </w:p>
        </w:tc>
        <w:tc>
          <w:tcPr>
            <w:tcW w:w="2842"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8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考核方式</w:t>
            </w:r>
            <w:r>
              <w:rPr>
                <w:rStyle w:val="10"/>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示例：</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w:t>
            </w:r>
            <w:r>
              <w:rPr>
                <w:rFonts w:hint="eastAsia" w:ascii="Times New Roman" w:hAnsi="Times New Roman" w:eastAsia="微软雅黑" w:cs="Times New Roman"/>
                <w:color w:val="000000"/>
                <w:kern w:val="0"/>
                <w:sz w:val="18"/>
                <w:szCs w:val="18"/>
                <w:lang w:bidi="ar"/>
              </w:rPr>
              <w:t>讨论</w:t>
            </w:r>
            <w:r>
              <w:rPr>
                <w:rFonts w:ascii="Times New Roman" w:hAnsi="Times New Roman" w:eastAsia="微软雅黑" w:cs="Times New Roman"/>
                <w:color w:val="000000"/>
                <w:kern w:val="0"/>
                <w:sz w:val="18"/>
                <w:szCs w:val="18"/>
                <w:lang w:bidi="ar"/>
              </w:rPr>
              <w:t xml:space="preserve"> 20分</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w:t>
            </w:r>
            <w:r>
              <w:rPr>
                <w:rFonts w:hint="eastAsia" w:ascii="Times New Roman" w:hAnsi="Times New Roman" w:eastAsia="微软雅黑" w:cs="Times New Roman"/>
                <w:color w:val="000000"/>
                <w:kern w:val="0"/>
                <w:sz w:val="18"/>
                <w:szCs w:val="18"/>
                <w:lang w:bidi="ar"/>
              </w:rPr>
              <w:t>出勤</w:t>
            </w:r>
            <w:r>
              <w:rPr>
                <w:rFonts w:ascii="Times New Roman" w:hAnsi="Times New Roman" w:eastAsia="微软雅黑" w:cs="Times New Roman"/>
                <w:color w:val="000000"/>
                <w:kern w:val="0"/>
                <w:sz w:val="18"/>
                <w:szCs w:val="18"/>
                <w:lang w:bidi="ar"/>
              </w:rPr>
              <w:t xml:space="preserve"> 5分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（3）期末考试 70分</w:t>
            </w:r>
            <w:r>
              <w:rPr>
                <w:rFonts w:hint="eastAsia"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t>（4）</w:t>
            </w:r>
            <w:r>
              <w:rPr>
                <w:rFonts w:hint="eastAsia" w:ascii="Times New Roman" w:hAnsi="Times New Roman" w:eastAsia="微软雅黑" w:cs="Times New Roman"/>
                <w:color w:val="000000"/>
                <w:kern w:val="0"/>
                <w:sz w:val="18"/>
                <w:szCs w:val="18"/>
                <w:lang w:bidi="ar"/>
              </w:rPr>
              <w:t>小测验</w:t>
            </w:r>
            <w:r>
              <w:rPr>
                <w:rFonts w:ascii="Times New Roman" w:hAnsi="Times New Roman" w:eastAsia="微软雅黑" w:cs="Times New Roman"/>
                <w:color w:val="000000"/>
                <w:kern w:val="0"/>
                <w:sz w:val="18"/>
                <w:szCs w:val="18"/>
                <w:lang w:bidi="ar"/>
              </w:rPr>
              <w:t xml:space="preserve"> 5分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教材或参考资料</w:t>
            </w:r>
            <w:r>
              <w:rPr>
                <w:rStyle w:val="6"/>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教材：</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无</w:t>
            </w:r>
          </w:p>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参考书：</w:t>
            </w:r>
          </w:p>
          <w:p>
            <w:pPr>
              <w:pStyle w:val="11"/>
              <w:widowControl/>
              <w:numPr>
                <w:ilvl w:val="0"/>
                <w:numId w:val="1"/>
              </w:numPr>
              <w:snapToGrid w:val="0"/>
              <w:spacing w:line="360" w:lineRule="auto"/>
              <w:ind w:firstLineChars="0"/>
              <w:outlineLvl w:val="0"/>
              <w:rPr>
                <w:rFonts w:hint="eastAsia" w:ascii="楷体" w:hAnsi="楷体" w:eastAsia="楷体"/>
                <w:sz w:val="22"/>
                <w:szCs w:val="21"/>
              </w:rPr>
            </w:pPr>
            <w:r>
              <w:rPr>
                <w:rFonts w:hint="eastAsia" w:ascii="楷体" w:hAnsi="楷体" w:eastAsia="楷体"/>
                <w:sz w:val="22"/>
                <w:szCs w:val="21"/>
              </w:rPr>
              <w:t>Molecular Cell Biology. Harvey Lodish等编著，2016年第8版，</w:t>
            </w:r>
            <w:r>
              <w:rPr>
                <w:rFonts w:ascii="楷体" w:hAnsi="楷体" w:eastAsia="楷体"/>
                <w:sz w:val="22"/>
                <w:szCs w:val="21"/>
              </w:rPr>
              <w:t>W H Freeman &amp; Co</w:t>
            </w:r>
            <w:r>
              <w:rPr>
                <w:rFonts w:hint="eastAsia" w:ascii="楷体" w:hAnsi="楷体" w:eastAsia="楷体"/>
                <w:sz w:val="22"/>
                <w:szCs w:val="21"/>
              </w:rPr>
              <w:t>出版，ISBN：</w:t>
            </w:r>
            <w:r>
              <w:rPr>
                <w:rFonts w:ascii="楷体" w:hAnsi="楷体" w:eastAsia="楷体"/>
                <w:sz w:val="22"/>
                <w:szCs w:val="21"/>
              </w:rPr>
              <w:t>9781429234139</w:t>
            </w:r>
          </w:p>
          <w:p>
            <w:pPr>
              <w:pStyle w:val="11"/>
              <w:widowControl/>
              <w:numPr>
                <w:ilvl w:val="0"/>
                <w:numId w:val="1"/>
              </w:numPr>
              <w:snapToGrid w:val="0"/>
              <w:spacing w:line="360" w:lineRule="auto"/>
              <w:ind w:firstLineChars="0"/>
              <w:outlineLvl w:val="0"/>
              <w:rPr>
                <w:rFonts w:hint="eastAsia" w:ascii="楷体" w:hAnsi="楷体" w:eastAsia="楷体" w:cs="宋体"/>
                <w:sz w:val="22"/>
                <w:szCs w:val="21"/>
              </w:rPr>
            </w:pPr>
            <w:r>
              <w:rPr>
                <w:rFonts w:hint="eastAsia" w:ascii="楷体" w:hAnsi="楷体" w:eastAsia="楷体" w:cs="宋体"/>
                <w:sz w:val="22"/>
                <w:szCs w:val="21"/>
              </w:rPr>
              <w:t>《生命科学导论》，高崇明 主编， 第3版，高等教育出版社，ISBN：978-7-04-035160-6</w:t>
            </w:r>
          </w:p>
          <w:p>
            <w:pPr>
              <w:widowControl/>
              <w:snapToGrid w:val="0"/>
              <w:spacing w:line="360" w:lineRule="auto"/>
              <w:outlineLvl w:val="0"/>
              <w:rPr>
                <w:rFonts w:ascii="楷体" w:hAnsi="楷体" w:eastAsia="楷体" w:cs="宋体"/>
                <w:sz w:val="22"/>
                <w:szCs w:val="21"/>
              </w:rPr>
            </w:pPr>
            <w:r>
              <w:rPr>
                <w:rFonts w:hint="eastAsia" w:ascii="楷体" w:hAnsi="楷体" w:eastAsia="楷体" w:cs="宋体"/>
                <w:sz w:val="22"/>
                <w:szCs w:val="21"/>
              </w:rPr>
              <w:t>2</w:t>
            </w:r>
            <w:r>
              <w:rPr>
                <w:rFonts w:ascii="楷体" w:hAnsi="楷体" w:eastAsia="楷体" w:cs="宋体"/>
                <w:sz w:val="22"/>
                <w:szCs w:val="21"/>
              </w:rPr>
              <w:t>.</w:t>
            </w:r>
            <w:r>
              <w:rPr>
                <w:rFonts w:hint="eastAsia" w:ascii="楷体" w:hAnsi="楷体" w:eastAsia="楷体" w:cs="宋体"/>
                <w:sz w:val="22"/>
                <w:szCs w:val="21"/>
              </w:rPr>
              <w:t>《生物化学与分子生物学》,冯作化等，第三版，人民卫生出版社,</w:t>
            </w:r>
            <w:r>
              <w:rPr>
                <w:rFonts w:ascii="Arial" w:hAnsi="Arial" w:cs="Arial"/>
                <w:color w:val="333333"/>
                <w:szCs w:val="20"/>
              </w:rPr>
              <w:t xml:space="preserve"> </w:t>
            </w:r>
            <w:r>
              <w:rPr>
                <w:rFonts w:hint="eastAsia" w:ascii="楷体" w:hAnsi="楷体" w:eastAsia="楷体"/>
                <w:sz w:val="22"/>
                <w:szCs w:val="21"/>
              </w:rPr>
              <w:t>ISBN：</w:t>
            </w:r>
            <w:r>
              <w:rPr>
                <w:rFonts w:ascii="楷体" w:hAnsi="楷体" w:eastAsia="楷体" w:cs="宋体"/>
                <w:sz w:val="22"/>
                <w:szCs w:val="21"/>
              </w:rPr>
              <w:t>9787117204576</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楷体" w:hAnsi="楷体" w:eastAsia="楷体" w:cs="宋体"/>
                <w:sz w:val="22"/>
                <w:szCs w:val="21"/>
              </w:rPr>
              <w:t>3</w:t>
            </w:r>
            <w:r>
              <w:rPr>
                <w:rFonts w:ascii="楷体" w:hAnsi="楷体" w:eastAsia="楷体" w:cs="宋体"/>
                <w:sz w:val="22"/>
                <w:szCs w:val="21"/>
              </w:rPr>
              <w:t>.</w:t>
            </w:r>
            <w:r>
              <w:rPr>
                <w:rFonts w:hint="eastAsia" w:ascii="楷体" w:hAnsi="楷体" w:eastAsia="楷体" w:cs="宋体"/>
                <w:sz w:val="22"/>
                <w:szCs w:val="21"/>
              </w:rPr>
              <w:t>《医学免疫学》，曹雪涛等，第六版，人民卫生出版社,</w:t>
            </w:r>
            <w:r>
              <w:rPr>
                <w:rFonts w:hint="eastAsia" w:ascii="楷体" w:hAnsi="楷体" w:eastAsia="楷体"/>
                <w:sz w:val="22"/>
                <w:szCs w:val="21"/>
              </w:rPr>
              <w:t xml:space="preserve"> ISBN：</w:t>
            </w:r>
            <w:r>
              <w:rPr>
                <w:rFonts w:ascii="楷体" w:hAnsi="楷体" w:eastAsia="楷体" w:cs="宋体"/>
                <w:sz w:val="22"/>
                <w:szCs w:val="21"/>
              </w:rPr>
              <w:t>9787117208215</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（必含信息：教材名称，作者，出版社，出版年份，版次，书号）</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6"/>
                <w:rFonts w:eastAsia="微软雅黑"/>
                <w:lang w:bidi="ar"/>
              </w:rPr>
              <w:t>More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6"/>
                <w:rFonts w:eastAsia="微软雅黑"/>
                <w:lang w:bidi="ar"/>
              </w:rPr>
              <w:t>Notes</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6"/>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6"/>
                <w:rFonts w:eastAsia="微软雅黑"/>
                <w:lang w:bidi="ar"/>
              </w:rPr>
            </w:pPr>
            <w:r>
              <w:rPr>
                <w:rStyle w:val="6"/>
                <w:rFonts w:eastAsia="微软雅黑"/>
                <w:lang w:bidi="ar"/>
              </w:rPr>
              <w:t xml:space="preserve">      1</w:t>
            </w:r>
            <w:r>
              <w:rPr>
                <w:rStyle w:val="7"/>
                <w:rFonts w:hint="default" w:ascii="Times New Roman" w:hAnsi="Times New Roman" w:cs="Times New Roman"/>
                <w:lang w:bidi="ar"/>
              </w:rPr>
              <w:t>．带</w:t>
            </w:r>
            <w:r>
              <w:rPr>
                <w:rStyle w:val="6"/>
                <w:rFonts w:eastAsia="微软雅黑"/>
                <w:lang w:bidi="ar"/>
              </w:rPr>
              <w:t>*</w:t>
            </w:r>
            <w:r>
              <w:rPr>
                <w:rStyle w:val="7"/>
                <w:rFonts w:hint="default" w:ascii="Times New Roman" w:hAnsi="Times New Roman" w:cs="Times New Roman"/>
                <w:lang w:bidi="ar"/>
              </w:rPr>
              <w:t>内容为必填项。</w:t>
            </w:r>
            <w:r>
              <w:rPr>
                <w:rStyle w:val="6"/>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6"/>
                <w:rFonts w:eastAsia="微软雅黑"/>
                <w:lang w:bidi="ar"/>
              </w:rPr>
              <w:t xml:space="preserve">   2</w:t>
            </w:r>
            <w:r>
              <w:rPr>
                <w:rStyle w:val="7"/>
                <w:rFonts w:hint="default" w:ascii="Times New Roman" w:hAnsi="Times New Roman" w:cs="Times New Roman"/>
                <w:lang w:bidi="ar"/>
              </w:rPr>
              <w:t>．课程简介字数为</w:t>
            </w:r>
            <w:r>
              <w:rPr>
                <w:rStyle w:val="6"/>
                <w:rFonts w:eastAsia="微软雅黑"/>
                <w:lang w:bidi="ar"/>
              </w:rPr>
              <w:t>300-500</w:t>
            </w:r>
            <w:r>
              <w:rPr>
                <w:rStyle w:val="7"/>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bookmarkStart w:id="0" w:name="_GoBack"/>
      <w:bookmarkEnd w:id="0"/>
    </w:p>
    <w:tbl>
      <w:tblPr>
        <w:tblStyle w:val="2"/>
        <w:tblW w:w="8260" w:type="dxa"/>
        <w:tblInd w:w="0" w:type="dxa"/>
        <w:shd w:val="clear" w:color="auto" w:fill="auto"/>
        <w:tblLayout w:type="fixed"/>
        <w:tblCellMar>
          <w:top w:w="0" w:type="dxa"/>
          <w:left w:w="0" w:type="dxa"/>
          <w:bottom w:w="0" w:type="dxa"/>
          <w:right w:w="0" w:type="dxa"/>
        </w:tblCellMar>
      </w:tblPr>
      <w:tblGrid>
        <w:gridCol w:w="2148"/>
        <w:gridCol w:w="1175"/>
        <w:gridCol w:w="1583"/>
        <w:gridCol w:w="1699"/>
        <w:gridCol w:w="1655"/>
      </w:tblGrid>
      <w:tr>
        <w:tblPrEx>
          <w:shd w:val="clear" w:color="auto" w:fill="auto"/>
          <w:tblCellMar>
            <w:top w:w="0" w:type="dxa"/>
            <w:left w:w="0" w:type="dxa"/>
            <w:bottom w:w="0" w:type="dxa"/>
            <w:right w:w="0" w:type="dxa"/>
          </w:tblCellMar>
        </w:tblPrEx>
        <w:trPr>
          <w:trHeight w:val="1095" w:hRule="atLeast"/>
        </w:trPr>
        <w:tc>
          <w:tcPr>
            <w:tcW w:w="8260"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b/>
                <w:i w:val="0"/>
                <w:color w:val="FF0000"/>
                <w:kern w:val="0"/>
                <w:sz w:val="40"/>
                <w:szCs w:val="40"/>
                <w:u w:val="none"/>
                <w:lang w:val="en-US" w:eastAsia="zh-CN" w:bidi="ar"/>
              </w:rPr>
              <w:t>Summary of the Attainment of LOs</w:t>
            </w:r>
          </w:p>
        </w:tc>
      </w:tr>
      <w:tr>
        <w:tblPrEx>
          <w:shd w:val="clear" w:color="auto" w:fill="auto"/>
          <w:tblCellMar>
            <w:top w:w="0" w:type="dxa"/>
            <w:left w:w="0" w:type="dxa"/>
            <w:bottom w:w="0" w:type="dxa"/>
            <w:right w:w="0" w:type="dxa"/>
          </w:tblCellMar>
        </w:tblPrEx>
        <w:trPr>
          <w:trHeight w:val="360" w:hRule="atLeast"/>
        </w:trPr>
        <w:tc>
          <w:tcPr>
            <w:tcW w:w="33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2050415" cy="852170"/>
                  <wp:effectExtent l="0" t="0" r="6985" b="11430"/>
                  <wp:wrapNone/>
                  <wp:docPr id="1" name="直接连接符_2"/>
                  <wp:cNvGraphicFramePr/>
                  <a:graphic xmlns:a="http://schemas.openxmlformats.org/drawingml/2006/main">
                    <a:graphicData uri="http://schemas.openxmlformats.org/drawingml/2006/picture">
                      <pic:pic xmlns:pic="http://schemas.openxmlformats.org/drawingml/2006/picture">
                        <pic:nvPicPr>
                          <pic:cNvPr id="1" name="直接连接符_2"/>
                          <pic:cNvPicPr/>
                        </pic:nvPicPr>
                        <pic:blipFill>
                          <a:blip r:embed="rId4"/>
                          <a:stretch>
                            <a:fillRect/>
                          </a:stretch>
                        </pic:blipFill>
                        <pic:spPr>
                          <a:xfrm>
                            <a:off x="0" y="0"/>
                            <a:ext cx="2050415" cy="85217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19050</wp:posOffset>
                  </wp:positionV>
                  <wp:extent cx="1318895" cy="836295"/>
                  <wp:effectExtent l="0" t="0" r="1905" b="1905"/>
                  <wp:wrapNone/>
                  <wp:docPr id="2" name="直接连接符_4"/>
                  <wp:cNvGraphicFramePr/>
                  <a:graphic xmlns:a="http://schemas.openxmlformats.org/drawingml/2006/main">
                    <a:graphicData uri="http://schemas.openxmlformats.org/drawingml/2006/picture">
                      <pic:pic xmlns:pic="http://schemas.openxmlformats.org/drawingml/2006/picture">
                        <pic:nvPicPr>
                          <pic:cNvPr id="2" name="直接连接符_4"/>
                          <pic:cNvPicPr/>
                        </pic:nvPicPr>
                        <pic:blipFill>
                          <a:blip r:embed="rId5"/>
                          <a:stretch>
                            <a:fillRect/>
                          </a:stretch>
                        </pic:blipFill>
                        <pic:spPr>
                          <a:xfrm>
                            <a:off x="0" y="0"/>
                            <a:ext cx="1318895" cy="83629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r>
      <w:tr>
        <w:tblPrEx>
          <w:tblCellMar>
            <w:top w:w="0" w:type="dxa"/>
            <w:left w:w="0" w:type="dxa"/>
            <w:bottom w:w="0" w:type="dxa"/>
            <w:right w:w="0" w:type="dxa"/>
          </w:tblCellMar>
        </w:tblPrEx>
        <w:trPr>
          <w:trHeight w:val="959" w:hRule="atLeast"/>
        </w:trPr>
        <w:tc>
          <w:tcPr>
            <w:tcW w:w="33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20"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Daily activity recording/Supervisor evaluation</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8"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Brief summary</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Project report</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583" w:type="dxa"/>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r>
      <w:tr>
        <w:tblPrEx>
          <w:shd w:val="clear" w:color="auto" w:fill="auto"/>
          <w:tblCellMar>
            <w:top w:w="0" w:type="dxa"/>
            <w:left w:w="0" w:type="dxa"/>
            <w:bottom w:w="0" w:type="dxa"/>
            <w:right w:w="0" w:type="dxa"/>
          </w:tblCellMar>
        </w:tblPrEx>
        <w:trPr>
          <w:trHeight w:val="360"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Attendence</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r>
    </w:tbl>
    <w:p>
      <w:pPr>
        <w:rPr>
          <w:rFonts w:hint="eastAsia"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B1851"/>
    <w:multiLevelType w:val="multilevel"/>
    <w:tmpl w:val="3ADB1851"/>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6341B"/>
    <w:rsid w:val="00073AEE"/>
    <w:rsid w:val="00091CDC"/>
    <w:rsid w:val="00152AC1"/>
    <w:rsid w:val="00260374"/>
    <w:rsid w:val="00265A0A"/>
    <w:rsid w:val="002B567A"/>
    <w:rsid w:val="002D141A"/>
    <w:rsid w:val="00306201"/>
    <w:rsid w:val="00363027"/>
    <w:rsid w:val="00416F17"/>
    <w:rsid w:val="004244F1"/>
    <w:rsid w:val="004862DE"/>
    <w:rsid w:val="004A7A05"/>
    <w:rsid w:val="004E2FB1"/>
    <w:rsid w:val="005340F8"/>
    <w:rsid w:val="00575FFE"/>
    <w:rsid w:val="005976F0"/>
    <w:rsid w:val="005C593E"/>
    <w:rsid w:val="00635853"/>
    <w:rsid w:val="006564EE"/>
    <w:rsid w:val="0065722D"/>
    <w:rsid w:val="006825F3"/>
    <w:rsid w:val="006C278F"/>
    <w:rsid w:val="006D6202"/>
    <w:rsid w:val="006F2756"/>
    <w:rsid w:val="00731517"/>
    <w:rsid w:val="007340DE"/>
    <w:rsid w:val="00765E7E"/>
    <w:rsid w:val="007771E9"/>
    <w:rsid w:val="007C0841"/>
    <w:rsid w:val="007C234D"/>
    <w:rsid w:val="008069CE"/>
    <w:rsid w:val="0084395D"/>
    <w:rsid w:val="0084569F"/>
    <w:rsid w:val="008A162F"/>
    <w:rsid w:val="00957CF5"/>
    <w:rsid w:val="009818E4"/>
    <w:rsid w:val="00A128FA"/>
    <w:rsid w:val="00A93CDD"/>
    <w:rsid w:val="00A971AE"/>
    <w:rsid w:val="00AC10FA"/>
    <w:rsid w:val="00AD5433"/>
    <w:rsid w:val="00AE770E"/>
    <w:rsid w:val="00AF7162"/>
    <w:rsid w:val="00BB2A71"/>
    <w:rsid w:val="00BF45FE"/>
    <w:rsid w:val="00CC6BFC"/>
    <w:rsid w:val="00D20824"/>
    <w:rsid w:val="00D30160"/>
    <w:rsid w:val="00D627C2"/>
    <w:rsid w:val="00DE398D"/>
    <w:rsid w:val="00DE7180"/>
    <w:rsid w:val="00E336BC"/>
    <w:rsid w:val="00E36D42"/>
    <w:rsid w:val="00E77198"/>
    <w:rsid w:val="00E9062D"/>
    <w:rsid w:val="00EA65E3"/>
    <w:rsid w:val="00F46F05"/>
    <w:rsid w:val="00F61E5C"/>
    <w:rsid w:val="00FD054C"/>
    <w:rsid w:val="00FD63F9"/>
    <w:rsid w:val="25724ACC"/>
    <w:rsid w:val="27507D71"/>
    <w:rsid w:val="276B128E"/>
    <w:rsid w:val="34956F42"/>
    <w:rsid w:val="37844E19"/>
    <w:rsid w:val="37F14E89"/>
    <w:rsid w:val="428F0B5E"/>
    <w:rsid w:val="5570146C"/>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71"/>
    <w:basedOn w:val="3"/>
    <w:qFormat/>
    <w:uiPriority w:val="0"/>
    <w:rPr>
      <w:rFonts w:ascii="微软雅黑" w:hAnsi="微软雅黑" w:eastAsia="微软雅黑" w:cs="微软雅黑"/>
      <w:color w:val="000000"/>
      <w:sz w:val="28"/>
      <w:szCs w:val="28"/>
      <w:u w:val="none"/>
    </w:rPr>
  </w:style>
  <w:style w:type="character" w:customStyle="1" w:styleId="5">
    <w:name w:val="font91"/>
    <w:basedOn w:val="3"/>
    <w:qFormat/>
    <w:uiPriority w:val="0"/>
    <w:rPr>
      <w:rFonts w:hint="default" w:ascii="Times New Roman" w:hAnsi="Times New Roman" w:cs="Times New Roman"/>
      <w:color w:val="000000"/>
      <w:sz w:val="28"/>
      <w:szCs w:val="28"/>
      <w:u w:val="none"/>
    </w:rPr>
  </w:style>
  <w:style w:type="character" w:customStyle="1" w:styleId="6">
    <w:name w:val="font21"/>
    <w:basedOn w:val="3"/>
    <w:qFormat/>
    <w:uiPriority w:val="0"/>
    <w:rPr>
      <w:rFonts w:hint="default" w:ascii="Times New Roman" w:hAnsi="Times New Roman" w:cs="Times New Roman"/>
      <w:color w:val="000000"/>
      <w:sz w:val="18"/>
      <w:szCs w:val="18"/>
      <w:u w:val="none"/>
    </w:rPr>
  </w:style>
  <w:style w:type="character" w:customStyle="1" w:styleId="7">
    <w:name w:val="font31"/>
    <w:basedOn w:val="3"/>
    <w:qFormat/>
    <w:uiPriority w:val="0"/>
    <w:rPr>
      <w:rFonts w:hint="eastAsia" w:ascii="微软雅黑" w:hAnsi="微软雅黑" w:eastAsia="微软雅黑" w:cs="微软雅黑"/>
      <w:color w:val="000000"/>
      <w:sz w:val="18"/>
      <w:szCs w:val="18"/>
      <w:u w:val="none"/>
    </w:rPr>
  </w:style>
  <w:style w:type="character" w:customStyle="1" w:styleId="8">
    <w:name w:val="font61"/>
    <w:basedOn w:val="3"/>
    <w:qFormat/>
    <w:uiPriority w:val="0"/>
    <w:rPr>
      <w:rFonts w:hint="eastAsia" w:ascii="微软雅黑" w:hAnsi="微软雅黑" w:eastAsia="微软雅黑" w:cs="微软雅黑"/>
      <w:color w:val="FF0000"/>
      <w:sz w:val="18"/>
      <w:szCs w:val="18"/>
      <w:u w:val="none"/>
    </w:rPr>
  </w:style>
  <w:style w:type="character" w:customStyle="1" w:styleId="9">
    <w:name w:val="font81"/>
    <w:basedOn w:val="3"/>
    <w:qFormat/>
    <w:uiPriority w:val="0"/>
    <w:rPr>
      <w:rFonts w:hint="eastAsia" w:ascii="微软雅黑" w:hAnsi="微软雅黑" w:eastAsia="微软雅黑" w:cs="微软雅黑"/>
      <w:color w:val="000000"/>
      <w:sz w:val="18"/>
      <w:szCs w:val="18"/>
      <w:u w:val="none"/>
    </w:rPr>
  </w:style>
  <w:style w:type="character" w:customStyle="1" w:styleId="10">
    <w:name w:val="font01"/>
    <w:basedOn w:val="3"/>
    <w:qFormat/>
    <w:uiPriority w:val="0"/>
    <w:rPr>
      <w:rFonts w:hint="default" w:ascii="Times New Roman" w:hAnsi="Times New Roman" w:cs="Times New Roman"/>
      <w:color w:val="000000"/>
      <w:sz w:val="18"/>
      <w:szCs w:val="18"/>
      <w:u w:val="non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1864</Words>
  <Characters>2444</Characters>
  <Lines>407</Lines>
  <Paragraphs>269</Paragraphs>
  <TotalTime>0</TotalTime>
  <ScaleCrop>false</ScaleCrop>
  <LinksUpToDate>false</LinksUpToDate>
  <CharactersWithSpaces>4039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2020-10-11T02:48:00Z</dcterms:created>
  <dc:creator>丫丫</dc:creator>
  <cp:lastModifiedBy>只喝露水</cp:lastModifiedBy>
  <dcterms:modified xsi:type="dcterms:W3CDTF">2021-03-08T05:04:45Z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